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3" w:rsidRDefault="00414303" w:rsidP="00414303">
      <w:pPr>
        <w:widowControl w:val="0"/>
        <w:tabs>
          <w:tab w:val="left" w:pos="1668"/>
        </w:tabs>
        <w:suppressAutoHyphens/>
        <w:spacing w:line="100" w:lineRule="atLeas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Приложение № 5 </w:t>
      </w:r>
    </w:p>
    <w:p w:rsidR="00414303" w:rsidRDefault="00414303" w:rsidP="00414303">
      <w:pPr>
        <w:widowControl w:val="0"/>
        <w:suppressAutoHyphens/>
        <w:spacing w:line="100" w:lineRule="atLeast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Правилам предоставления микрозаймов</w:t>
      </w:r>
    </w:p>
    <w:p w:rsidR="00414303" w:rsidRDefault="00414303" w:rsidP="00414303">
      <w:pPr>
        <w:widowControl w:val="0"/>
        <w:suppressAutoHyphens/>
        <w:spacing w:line="100" w:lineRule="atLeast"/>
        <w:ind w:left="5664"/>
        <w:rPr>
          <w:rFonts w:eastAsiaTheme="minorHAnsi"/>
          <w:b/>
          <w:sz w:val="20"/>
          <w:szCs w:val="20"/>
        </w:rPr>
      </w:pPr>
      <w:r>
        <w:rPr>
          <w:color w:val="000000"/>
          <w:sz w:val="20"/>
          <w:szCs w:val="20"/>
        </w:rPr>
        <w:t>МКК, НКО «Фонд поддержки МСП РА»</w:t>
      </w:r>
    </w:p>
    <w:p w:rsidR="00A06726" w:rsidRPr="00E90C6D" w:rsidRDefault="00A06726" w:rsidP="00A62632">
      <w:pPr>
        <w:pStyle w:val="1"/>
      </w:pPr>
      <w:r w:rsidRPr="00E90C6D">
        <w:t>Баланс</w:t>
      </w:r>
      <w:r w:rsidR="00627AC6">
        <w:t xml:space="preserve"> (на _________________</w:t>
      </w:r>
      <w:bookmarkStart w:id="0" w:name="_GoBack"/>
      <w:bookmarkEnd w:id="0"/>
      <w:r w:rsidR="00627AC6">
        <w:t>)</w:t>
      </w:r>
    </w:p>
    <w:p w:rsidR="00A06726" w:rsidRPr="00E90C6D" w:rsidRDefault="00627AC6" w:rsidP="00627AC6">
      <w:pPr>
        <w:pStyle w:val="ConsPlusNormal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</w:t>
      </w:r>
      <w:proofErr w:type="spellEnd"/>
    </w:p>
    <w:tbl>
      <w:tblPr>
        <w:tblW w:w="8100" w:type="dxa"/>
        <w:tblInd w:w="98" w:type="dxa"/>
        <w:tblLook w:val="04A0" w:firstRow="1" w:lastRow="0" w:firstColumn="1" w:lastColumn="0" w:noHBand="0" w:noVBand="1"/>
      </w:tblPr>
      <w:tblGrid>
        <w:gridCol w:w="3200"/>
        <w:gridCol w:w="960"/>
        <w:gridCol w:w="2980"/>
        <w:gridCol w:w="960"/>
      </w:tblGrid>
      <w:tr w:rsidR="00A06726" w:rsidRPr="00825021" w:rsidTr="00A4095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Пассив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БАНКОВСКИЙ СЧЕТ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РАСЧЕТЫ С БЮДЖЕТОМ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ЗАДОЛЖЕННОСТЬ ПО ЗАРАБОТНОЙ</w:t>
            </w:r>
            <w:r w:rsidRPr="00825021">
              <w:rPr>
                <w:color w:val="000000"/>
                <w:sz w:val="18"/>
                <w:szCs w:val="18"/>
              </w:rPr>
              <w:br/>
              <w:t>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ЛИКВИДНЫХ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АРЕНДА И КОММУНАЛЬНЫЕ</w:t>
            </w:r>
            <w:r w:rsidRPr="00825021">
              <w:rPr>
                <w:color w:val="000000"/>
                <w:sz w:val="18"/>
                <w:szCs w:val="18"/>
              </w:rPr>
              <w:br/>
              <w:t>ПЛАТЕЖИ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ПОЛУЧЕНИЮ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ПРОЧАЯ КРАТКОСРОЧНАЯ</w:t>
            </w:r>
            <w:r w:rsidRPr="00825021">
              <w:rPr>
                <w:color w:val="000000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ДЕБИТОРСКОЙ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ОПЛАТЕ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СЫРЬЕ И ПОЛУФАБРИКАТЫ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 КЛИЕНТАМИ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25021">
              <w:rPr>
                <w:b/>
                <w:color w:val="000000"/>
                <w:sz w:val="18"/>
                <w:szCs w:val="18"/>
              </w:rPr>
              <w:t>ВСЕГО РАСЧЕТЫ С КОНТРАГЕНТАМИ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ТМЗ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ТЕКУЩИХ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ОБОРУДОВАНИЕ И МЕБЕЛЬ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КРАТКОСРОЧНЫХ КРЕДИТОВ И ЗАЙМОВ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ТЕКУЩЕЙ 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ДОЛГОСРОЧНЫЕ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6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ПОСТОЯННЫХ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 и ПРОЧИЕ 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1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ДОЛГОСРОЧНЫХ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СОБСТВЕННЫЙ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22"/>
                <w:szCs w:val="22"/>
              </w:rPr>
            </w:pPr>
            <w:r w:rsidRPr="00825021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Банковский счет.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остатки средств на расчетных, текущих валютных и депозитных счетах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Прочие краткосрочные активы</w:t>
      </w:r>
      <w:r w:rsidRPr="00E90C6D">
        <w:rPr>
          <w:rFonts w:ascii="Times New Roman" w:hAnsi="Times New Roman" w:cs="Times New Roman"/>
          <w:sz w:val="22"/>
          <w:szCs w:val="22"/>
        </w:rPr>
        <w:t>. В графу включаются иные ликвидные средства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получению.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текущая (не просроченная) задолженность покупателей и заказчиков перед Заемщиком.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вносятся предоплаты Заемщика в адрес поставщиков, а также переплаты по налогам.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Товарно-материальные запасы (ТМЗ</w:t>
      </w:r>
      <w:r w:rsidRPr="00E90C6D">
        <w:rPr>
          <w:rFonts w:ascii="Times New Roman" w:hAnsi="Times New Roman" w:cs="Times New Roman"/>
          <w:sz w:val="22"/>
          <w:szCs w:val="22"/>
        </w:rPr>
        <w:t>). В графу включается закупочная стоимость, находящихся в распоряжении Заемщика  товарно-материальных запасов по их видам, стоимость готовой продукции, сырья и полуфабрикатов.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sz w:val="22"/>
          <w:szCs w:val="22"/>
        </w:rPr>
        <w:t xml:space="preserve">В случае анализа Заемщика сельскохозяйственного товаропроизводителя, произведенные </w:t>
      </w:r>
      <w:r w:rsidRPr="00E90C6D">
        <w:rPr>
          <w:rFonts w:ascii="Times New Roman" w:hAnsi="Times New Roman" w:cs="Times New Roman"/>
          <w:sz w:val="22"/>
          <w:szCs w:val="22"/>
        </w:rPr>
        <w:lastRenderedPageBreak/>
        <w:t>посевы учитываются как незавершенное производство по статье "Товары" по своей себестоимости с учетом всех фактически произведенных затрат (обработку, удобрение, культивирование и пр.).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Постоянные активы.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стоимость находящихся в собственности Заемщика  и используемых в его хозяйственной деятельности основных сре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 xml:space="preserve">асшифровкой по их видам. В балансе учитывается имущество, которое принадлежит предприятию (предпринимателю) и используется в бизнесе.     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Расчеты с бюджетом.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начисленные, подлежащие уплате налоги и другие обязательные платежи (в </w:t>
      </w:r>
      <w:proofErr w:type="spellStart"/>
      <w:r w:rsidRPr="00E90C6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90C6D">
        <w:rPr>
          <w:rFonts w:ascii="Times New Roman" w:hAnsi="Times New Roman" w:cs="Times New Roman"/>
          <w:sz w:val="22"/>
          <w:szCs w:val="22"/>
        </w:rPr>
        <w:t>. перед внебюджетными фондами).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Задолженность по заработной 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Аренда и коммунальные платежи.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Прочая краткосрочная задолженность.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статьи включается начисленная, но не оплаченная задолженность по текущим расходам бизнеса.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 Клиентами</w:t>
      </w:r>
      <w:r w:rsidRPr="00E90C6D">
        <w:rPr>
          <w:rFonts w:ascii="Times New Roman" w:hAnsi="Times New Roman" w:cs="Times New Roman"/>
          <w:sz w:val="22"/>
          <w:szCs w:val="22"/>
        </w:rPr>
        <w:t>. В статье отражается сумма денежных средств, поступивших от покупателей за товар, когда товар/готовая продукция еще не отгружен.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оплате.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Счета поставщиков сырья/товара/основных средств, подлежащие оплате.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Товарный кредит.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статью включается стоимость неоплаченных товаров, находящихся у Заемщика, в соответствии с соглашениями с поставщиками товаров, дающими право Заемщику  заказывать товары в пределах определенной суммы и ограничиваемое сроком оплаты или совокупной стоимостью неоплаченных товаров.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Краткосрочные банковские кредиты. Краткосрочные займы.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графы вносится сумма основного долга по полученным Заемщиком кредитам банков и юридических лиц и займам, срок погашения которых по условиям договора не превышает 12 месяцев.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кредиты.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займы и прочие обязательства.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сумма основного долга по полученным Заемщиком (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>) кредитам банков и юридических лиц и займам, со сроком погашения свыше 12 месяцев.</w:t>
      </w: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 xml:space="preserve">Дата </w:t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  <w:t>______________</w:t>
      </w: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A06726" w:rsidRDefault="00A06726" w:rsidP="00A06726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                                       подпись                           расшифровка Ф.И.О</w:t>
      </w:r>
    </w:p>
    <w:p w:rsidR="005C7393" w:rsidRPr="00E90C6D" w:rsidRDefault="005C7393" w:rsidP="005C73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A06726" w:rsidRPr="00E90C6D" w:rsidRDefault="00A06726" w:rsidP="00A06726">
      <w:pPr>
        <w:spacing w:line="276" w:lineRule="auto"/>
        <w:jc w:val="both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414303">
      <w:pPr>
        <w:rPr>
          <w:sz w:val="22"/>
          <w:szCs w:val="22"/>
        </w:rPr>
      </w:pPr>
    </w:p>
    <w:p w:rsidR="00036E65" w:rsidRDefault="00627AC6"/>
    <w:sectPr w:rsidR="0003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6"/>
    <w:rsid w:val="0035595D"/>
    <w:rsid w:val="00397DEF"/>
    <w:rsid w:val="00414303"/>
    <w:rsid w:val="005C7393"/>
    <w:rsid w:val="00627AC6"/>
    <w:rsid w:val="008809F7"/>
    <w:rsid w:val="00A06726"/>
    <w:rsid w:val="00A62632"/>
    <w:rsid w:val="00B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пользователь</cp:lastModifiedBy>
  <cp:revision>8</cp:revision>
  <cp:lastPrinted>2019-10-14T03:32:00Z</cp:lastPrinted>
  <dcterms:created xsi:type="dcterms:W3CDTF">2014-11-19T02:47:00Z</dcterms:created>
  <dcterms:modified xsi:type="dcterms:W3CDTF">2021-02-09T08:49:00Z</dcterms:modified>
</cp:coreProperties>
</file>